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7E" w:rsidRPr="006F5AED" w:rsidRDefault="00DF107E" w:rsidP="004B6AC5">
      <w:pPr>
        <w:jc w:val="center"/>
        <w:rPr>
          <w:rFonts w:ascii="Tahoma" w:hAnsi="Tahoma" w:cs="Tahoma"/>
          <w:b/>
          <w:bCs/>
          <w:iCs/>
          <w:sz w:val="32"/>
          <w:szCs w:val="28"/>
          <w:u w:val="single"/>
        </w:rPr>
      </w:pPr>
      <w:r w:rsidRPr="006F5AED">
        <w:rPr>
          <w:rFonts w:ascii="Tahoma" w:hAnsi="Tahoma" w:cs="Tahoma"/>
          <w:b/>
          <w:bCs/>
          <w:iCs/>
          <w:sz w:val="32"/>
          <w:szCs w:val="28"/>
          <w:u w:val="single"/>
        </w:rPr>
        <w:t>ΤΕΧΝΙΚΕΣ ΠΡΟΔΙΑΓΡΑΦΕΣ</w:t>
      </w:r>
    </w:p>
    <w:p w:rsidR="00DF107E" w:rsidRPr="006F5AED" w:rsidRDefault="00DF107E" w:rsidP="004B6AC5">
      <w:pPr>
        <w:jc w:val="center"/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</w:pPr>
      <w:r w:rsidRPr="006F5AED"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  <w:t>ΑΣΠΡΟΜΑΥΡΟΥ ΠΟΛΥΛΕΙΤΟΥΡΓΙΚΟΥ</w:t>
      </w:r>
    </w:p>
    <w:p w:rsidR="00DF107E" w:rsidRPr="0042203F" w:rsidRDefault="00DF107E" w:rsidP="004B6AC5">
      <w:pPr>
        <w:jc w:val="center"/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</w:pPr>
      <w:r w:rsidRPr="006F5AED"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  <w:t>ΦΩΤΟΑΝΤΙΓΡΑΦΙΚΟΥ ΜΗΧΑΝΗΜΑΤΟΣ Α3</w:t>
      </w:r>
    </w:p>
    <w:p w:rsidR="00DF107E" w:rsidRDefault="00DF107E" w:rsidP="00DF107E">
      <w:pPr>
        <w:jc w:val="center"/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</w:pPr>
      <w:r w:rsidRPr="006F5AED">
        <w:rPr>
          <w:rFonts w:ascii="Tahoma" w:hAnsi="Tahoma" w:cs="Tahoma"/>
          <w:b/>
          <w:bCs/>
          <w:color w:val="000000"/>
          <w:sz w:val="28"/>
          <w:szCs w:val="20"/>
          <w:lang w:eastAsia="el-GR"/>
        </w:rPr>
        <w:t>(ΦΩΤΟΑΝΤΙΓΡΑΦΙΚΟ - ΕΚΤΥΠΩΤΗΣ - ΣΑΡΩΤΗΣ)</w:t>
      </w:r>
    </w:p>
    <w:p w:rsidR="00DF107E" w:rsidRPr="00DF107E" w:rsidRDefault="00DF107E" w:rsidP="004B6AC5">
      <w:pPr>
        <w:jc w:val="center"/>
        <w:rPr>
          <w:rFonts w:ascii="Tahoma" w:hAnsi="Tahoma" w:cs="Tahoma"/>
          <w:b/>
          <w:bCs/>
          <w:color w:val="000000"/>
          <w:sz w:val="28"/>
          <w:szCs w:val="20"/>
          <w:lang w:val="en-US" w:eastAsia="el-GR"/>
        </w:rPr>
      </w:pPr>
    </w:p>
    <w:p w:rsidR="00DF107E" w:rsidRPr="00DF107E" w:rsidRDefault="00DF107E" w:rsidP="00DF107E">
      <w:pPr>
        <w:jc w:val="center"/>
        <w:rPr>
          <w:rFonts w:ascii="Tahoma" w:hAnsi="Tahoma" w:cs="Tahoma"/>
          <w:b/>
          <w:bCs/>
          <w:color w:val="000000"/>
          <w:sz w:val="28"/>
          <w:szCs w:val="20"/>
          <w:lang w:val="en-US" w:eastAsia="el-GR"/>
        </w:rPr>
      </w:pPr>
    </w:p>
    <w:p w:rsidR="00BD03C2" w:rsidRPr="001C4A27" w:rsidRDefault="00BD03C2">
      <w:pPr>
        <w:rPr>
          <w:rFonts w:ascii="Tahoma" w:hAnsi="Tahoma" w:cs="Tahoma"/>
          <w:sz w:val="22"/>
          <w:szCs w:val="22"/>
          <w:lang w:val="en-US"/>
        </w:rPr>
      </w:pPr>
    </w:p>
    <w:p w:rsidR="00C776BF" w:rsidRPr="004B6AC5" w:rsidRDefault="00C776BF">
      <w:pPr>
        <w:rPr>
          <w:rFonts w:ascii="Tahoma" w:hAnsi="Tahoma" w:cs="Tahoma"/>
          <w:b/>
          <w:bCs/>
          <w:lang w:eastAsia="el-GR"/>
        </w:rPr>
      </w:pPr>
    </w:p>
    <w:tbl>
      <w:tblPr>
        <w:tblW w:w="10449" w:type="dxa"/>
        <w:jc w:val="center"/>
        <w:tblLook w:val="04A0" w:firstRow="1" w:lastRow="0" w:firstColumn="1" w:lastColumn="0" w:noHBand="0" w:noVBand="1"/>
      </w:tblPr>
      <w:tblGrid>
        <w:gridCol w:w="785"/>
        <w:gridCol w:w="3568"/>
        <w:gridCol w:w="2268"/>
        <w:gridCol w:w="2127"/>
        <w:gridCol w:w="1701"/>
      </w:tblGrid>
      <w:tr w:rsidR="004B6AC5" w:rsidRPr="004B6AC5" w:rsidTr="008D2F8B">
        <w:trPr>
          <w:trHeight w:hRule="exact" w:val="543"/>
          <w:jc w:val="center"/>
        </w:trPr>
        <w:tc>
          <w:tcPr>
            <w:tcW w:w="104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6AC5" w:rsidRPr="000B4240" w:rsidRDefault="004B6AC5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4B6AC5">
              <w:rPr>
                <w:rFonts w:ascii="Tahoma" w:hAnsi="Tahoma" w:cs="Tahoma"/>
                <w:b/>
                <w:bCs/>
                <w:lang w:eastAsia="el-GR"/>
              </w:rPr>
              <w:t>Α. ΤΕΧΝΙΚΕΣ ΠΡΟΔΙΑΓΡΑΦΕΣ</w:t>
            </w:r>
          </w:p>
        </w:tc>
      </w:tr>
      <w:tr w:rsidR="00125235" w:rsidRPr="000B4240" w:rsidTr="008D2F8B">
        <w:trPr>
          <w:trHeight w:hRule="exact" w:val="425"/>
          <w:jc w:val="center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Α/Α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B63DC3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Περιγραφή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Υποχρέωση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Απάντηση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Παραπομπή</w:t>
            </w:r>
          </w:p>
        </w:tc>
      </w:tr>
      <w:tr w:rsidR="000B4240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B4240" w:rsidRPr="000B4240" w:rsidRDefault="000B4240" w:rsidP="000B424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Γενικά</w:t>
            </w:r>
          </w:p>
        </w:tc>
      </w:tr>
      <w:tr w:rsidR="004B6AC5" w:rsidRPr="000B4240" w:rsidTr="00B80DAE">
        <w:trPr>
          <w:trHeight w:hRule="exact" w:val="1687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 είναι καινούργιο, αμεταχείριστο, όχι ανακατασκευασμένο και να έχει πιστοποίηση CE. Να είναι ψηφιακό, τεχνολογίας laser, το τελευταίο μοντέλο της σειράς του,</w:t>
            </w:r>
            <w:r w:rsidRPr="008C4C34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και να μην έχει ανακοινωθεί η παύση αυτού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B71583">
        <w:trPr>
          <w:trHeight w:hRule="exact" w:val="1982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 έχει μέγιστη μηνιαία παραγωγική ικανότητα (όχι Duty Cycle) τουλάχιστον 20.000 φωτοαντιγράφων. Η παραγωγική αυτή ικανότητα να βεβαιώνεται από επίσημα τεχνικά φυλλάδια του κατασκευαστή.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2203F" w:rsidRPr="000B4240" w:rsidTr="00B71583">
        <w:trPr>
          <w:trHeight w:hRule="exact" w:val="553"/>
          <w:jc w:val="center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03F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3F" w:rsidRPr="00DF521C" w:rsidRDefault="0042203F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03F" w:rsidRPr="00DF521C" w:rsidRDefault="0042203F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03F" w:rsidRPr="000B4240" w:rsidRDefault="0042203F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2203F" w:rsidRPr="000B4240" w:rsidRDefault="0042203F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711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Α.1.4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Μέγεθος χαρτιού τροφοδοσίας (αντίγραφα/εκτυπώσεις)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A6-Α3 τουλάχιστον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Α.1.5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Μέγεθος πρωτοτύπων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Α5-Α3 τουλάχιστον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Α.1.6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Ανάλυση αντιγραφής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≥ </w:t>
            </w:r>
            <w:r w:rsidRPr="004C5E75">
              <w:rPr>
                <w:rFonts w:ascii="Tahoma" w:hAnsi="Tahoma" w:cs="Tahoma"/>
                <w:sz w:val="20"/>
                <w:szCs w:val="20"/>
                <w:lang w:eastAsia="el-GR"/>
              </w:rPr>
              <w:t>600</w:t>
            </w:r>
            <w:r w:rsidRPr="004C5E75">
              <w:rPr>
                <w:rFonts w:ascii="Tahoma" w:hAnsi="Tahoma" w:cs="Tahoma"/>
                <w:sz w:val="20"/>
                <w:szCs w:val="20"/>
                <w:lang w:val="en-US" w:eastAsia="el-GR"/>
              </w:rPr>
              <w:t xml:space="preserve"> x 600</w:t>
            </w:r>
            <w:r w:rsidRPr="004C5E7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dpi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B80DAE">
        <w:trPr>
          <w:trHeight w:hRule="exact" w:val="1137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Α.1.7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 διαθέτει τουλάχιστον δύο (2) κασέτες τροφοδοσίας (εκτός του δίσκου Bypass) χωρητικότητας 500 φύλλων έκαστη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Default="00B71583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Α.1.8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Δίσκος πλαϊνής τροφοδοσίας Bypass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100 φύλλων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</w:t>
            </w:r>
            <w:r w:rsidR="00B7158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Πολλαπλά φωτοαντίγραφα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1-999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</w:t>
            </w:r>
            <w:r w:rsidR="00B7158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Μνήμη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≥ </w:t>
            </w:r>
            <w:r w:rsidRPr="00ED5A99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GΒ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4D8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Σκληρός δίσκος</w:t>
            </w: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0E64D8" w:rsidRPr="000E64D8" w:rsidRDefault="000E64D8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4B6AC5" w:rsidRPr="000E64D8" w:rsidRDefault="004B6AC5" w:rsidP="000E64D8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320 GB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EF3" w:rsidRDefault="00F21EF3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P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F21EF3" w:rsidRDefault="00F21EF3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  <w:p w:rsidR="004B6AC5" w:rsidRPr="00F21EF3" w:rsidRDefault="004B6AC5" w:rsidP="00F21EF3">
            <w:pPr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2392"/>
          <w:jc w:val="center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Nα διαθέτει standard λειτουργίες ασφάλειας σκληρού δίσκου Data Overwrite για διαδοχικές επαν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εγ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γραφές έπειτα από διαγραφή των δεδομένων του σκληρού δίσκου και HDD Encryption για κρυπτογράφηση των δεδομένων που έχουν αποθηκευτεί στον σκληρό δίσκο.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8D2F8B">
        <w:trPr>
          <w:trHeight w:hRule="exact" w:val="586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Ταχύτητα φωτοαντιγραφής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30 αντίγραφα Α4/λεπτό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1018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Αυτόματος τροφοδότης πρωτοτύπων διπλής όψης για αυτόματη σάρωση και φωτοαντιγραφή διπλής όψης.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100 φύλλων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Χρόνος προθέρμανσης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≤ 25 sec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Ταχύτητα επεξεργαστή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500 MHz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Α.1.1</w:t>
            </w:r>
            <w:r w:rsidR="00B7158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Μεγάλη Έγχρωμη Οθόνη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φής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9 ιντσών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val="548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B71583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Α.1.</w:t>
            </w:r>
            <w:r w:rsidR="00B71583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B7158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 προσφέρεται με τη βάση στήριξης του ίδιου κατασκευαστή.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425"/>
          <w:jc w:val="center"/>
        </w:trPr>
        <w:tc>
          <w:tcPr>
            <w:tcW w:w="7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96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sz w:val="22"/>
                <w:szCs w:val="22"/>
                <w:lang w:eastAsia="el-GR"/>
              </w:rPr>
              <w:t>Δυνατότητες Εκτύπωσης</w:t>
            </w:r>
          </w:p>
        </w:tc>
      </w:tr>
      <w:tr w:rsidR="004B6AC5" w:rsidRPr="000B4240" w:rsidTr="004B6AC5">
        <w:trPr>
          <w:trHeight w:val="37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Α.2.1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Δικτυακός εκτυπωτής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val="31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Α.2.2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Μονάδα αυτόματης διπλής όψης (duplex unit)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val="31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Α.2.3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Ανάλυση εκτύπωσης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≥ 1200 x 1200 dpi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val="31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Α.2.4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Γλώσσες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προσομοίωσης 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εκτύπωσης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Τουλάχιστον PCL5/6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4B6AC5">
        <w:trPr>
          <w:trHeight w:hRule="exact" w:val="889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Α.2.5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Σύνδεση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Υποστήριξη τουλάχιστον </w:t>
            </w: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Ethernet </w:t>
            </w:r>
            <w:r w:rsidRPr="004B6AC5">
              <w:rPr>
                <w:rFonts w:ascii="Tahoma" w:hAnsi="Tahoma" w:cs="Tahoma"/>
                <w:sz w:val="20"/>
                <w:szCs w:val="20"/>
                <w:lang w:eastAsia="el-GR"/>
              </w:rPr>
              <w:t>10/100/1000 Base-TX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8D2F8B">
        <w:trPr>
          <w:trHeight w:hRule="exact" w:val="593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Α.2.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Απευθείας εκτύπωση από USB stick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DF521C" w:rsidRDefault="004B6AC5" w:rsidP="004B6AC5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B6AC5" w:rsidRPr="000B4240" w:rsidRDefault="004B6AC5" w:rsidP="0092771F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  <w:lang w:eastAsia="el-GR"/>
              </w:rPr>
            </w:pPr>
          </w:p>
        </w:tc>
      </w:tr>
      <w:tr w:rsidR="004B6AC5" w:rsidRPr="000B4240" w:rsidTr="008D2F8B">
        <w:trPr>
          <w:trHeight w:hRule="exact" w:val="525"/>
          <w:jc w:val="center"/>
        </w:trPr>
        <w:tc>
          <w:tcPr>
            <w:tcW w:w="10449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pct15" w:color="auto" w:fill="auto"/>
            <w:noWrap/>
            <w:vAlign w:val="center"/>
          </w:tcPr>
          <w:p w:rsidR="004B6AC5" w:rsidRPr="004B6AC5" w:rsidRDefault="004B6AC5" w:rsidP="008D2F8B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4B6AC5">
              <w:rPr>
                <w:rFonts w:ascii="Tahoma" w:hAnsi="Tahoma" w:cs="Tahoma"/>
                <w:b/>
                <w:bCs/>
                <w:lang w:eastAsia="el-GR"/>
              </w:rPr>
              <w:t>Β. ΕΙΔΙΚΟΙ ΟΡΟΙ</w:t>
            </w:r>
          </w:p>
        </w:tc>
      </w:tr>
      <w:tr w:rsidR="008D2F8B" w:rsidRPr="000B4240" w:rsidTr="008D2F8B">
        <w:trPr>
          <w:trHeight w:hRule="exact" w:val="425"/>
          <w:jc w:val="center"/>
        </w:trPr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F8B" w:rsidRPr="000B4240" w:rsidRDefault="008D2F8B" w:rsidP="00AC2D9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0B4240">
              <w:rPr>
                <w:rFonts w:ascii="Tahoma" w:hAnsi="Tahoma" w:cs="Tahoma"/>
                <w:b/>
                <w:bCs/>
                <w:lang w:eastAsia="el-GR"/>
              </w:rPr>
              <w:t>Α/Α</w:t>
            </w:r>
          </w:p>
        </w:tc>
        <w:tc>
          <w:tcPr>
            <w:tcW w:w="9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2F8B" w:rsidRPr="000B4240" w:rsidRDefault="008D2F8B" w:rsidP="00AC2D90">
            <w:pPr>
              <w:suppressAutoHyphens w:val="0"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Περιγραφή</w:t>
            </w:r>
          </w:p>
        </w:tc>
      </w:tr>
      <w:tr w:rsidR="008D2F8B" w:rsidRPr="000B4240" w:rsidTr="008D2F8B">
        <w:trPr>
          <w:trHeight w:hRule="exact" w:val="709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F8B" w:rsidRPr="00DF521C" w:rsidRDefault="008D2F8B" w:rsidP="0042203F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Β.</w:t>
            </w:r>
            <w:r w:rsidR="0042203F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2F8B" w:rsidRPr="00DF521C" w:rsidRDefault="008D2F8B" w:rsidP="00AC2D90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Κάθε μοντέλο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</w:tr>
      <w:tr w:rsidR="008D2F8B" w:rsidRPr="000B4240" w:rsidTr="008D2F8B">
        <w:trPr>
          <w:trHeight w:hRule="exact" w:val="705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F8B" w:rsidRPr="00DF521C" w:rsidRDefault="008D2F8B" w:rsidP="0042203F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Β.</w:t>
            </w:r>
            <w:r w:rsidR="0042203F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2F8B" w:rsidRPr="00DF521C" w:rsidRDefault="008D2F8B" w:rsidP="00AC2D90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F521C">
              <w:rPr>
                <w:rFonts w:ascii="Tahoma" w:hAnsi="Tahoma" w:cs="Tahoma"/>
                <w:sz w:val="20"/>
                <w:szCs w:val="20"/>
                <w:lang w:eastAsia="el-GR"/>
              </w:rPr>
              <w:t>Κάθε μοντέλο θα πρέπει να συνοδεύεται από το πρώτο σετ αναλωσίμων για την αρχική λειτουργία της μηχανής, το κόστος του οποίου βαρύνει την προμηθεύτρια εταιρεία.</w:t>
            </w:r>
          </w:p>
        </w:tc>
      </w:tr>
      <w:tr w:rsidR="008D2F8B" w:rsidRPr="000B4240" w:rsidTr="0042203F">
        <w:trPr>
          <w:trHeight w:hRule="exact" w:val="1357"/>
          <w:jc w:val="center"/>
        </w:trPr>
        <w:tc>
          <w:tcPr>
            <w:tcW w:w="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F8B" w:rsidRPr="00DF521C" w:rsidRDefault="008D2F8B" w:rsidP="0042203F">
            <w:pPr>
              <w:jc w:val="center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Β.</w:t>
            </w:r>
            <w:r w:rsidR="0042203F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D2F8B" w:rsidRPr="00DF521C" w:rsidRDefault="0042203F" w:rsidP="0042203F">
            <w:pPr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Εγγύηση 3 έτη. </w:t>
            </w:r>
            <w:r w:rsidRPr="0042203F">
              <w:rPr>
                <w:rFonts w:ascii="Tahoma" w:hAnsi="Tahoma" w:cs="Tahoma"/>
                <w:sz w:val="20"/>
                <w:szCs w:val="20"/>
                <w:lang w:eastAsia="el-GR"/>
              </w:rPr>
              <w:t>Η εγγύηση καλής λειτουργίας περιλαμβάνει τη δωρεάν παροχή υπηρεσιών συντήρησης, επισκευής και τεχνικής υποστήριξης δηλ. την υποχρέωση επισκευής ή αντικατάστασης εξαρτημάτων, τα εξαρτήματα, τις εργασίες, την παραλαβή/παράδοση από το/στο χώρο της Υπηρεσίας με ανταπόκριση εντός της επόμενης ημέρας από τη δήλωση της βλάβης.</w:t>
            </w:r>
          </w:p>
        </w:tc>
      </w:tr>
    </w:tbl>
    <w:p w:rsidR="00BD03C2" w:rsidRPr="001C4A27" w:rsidRDefault="00BD03C2">
      <w:pPr>
        <w:rPr>
          <w:rFonts w:ascii="Tahoma" w:hAnsi="Tahoma" w:cs="Tahoma"/>
          <w:sz w:val="22"/>
          <w:szCs w:val="22"/>
        </w:rPr>
      </w:pPr>
    </w:p>
    <w:sectPr w:rsidR="00BD03C2" w:rsidRPr="001C4A27" w:rsidSect="00B71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D4" w:rsidRDefault="00C87AD4">
      <w:r>
        <w:separator/>
      </w:r>
    </w:p>
  </w:endnote>
  <w:endnote w:type="continuationSeparator" w:id="0">
    <w:p w:rsidR="00C87AD4" w:rsidRDefault="00C8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3" w:rsidRDefault="00F21E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5" w:rsidRDefault="00F21EF3" w:rsidP="000E64D8">
    <w:pPr>
      <w:pStyle w:val="a8"/>
      <w:tabs>
        <w:tab w:val="clear" w:pos="4153"/>
        <w:tab w:val="clear" w:pos="8306"/>
      </w:tabs>
      <w:ind w:left="-426" w:right="75"/>
      <w:jc w:val="center"/>
    </w:pPr>
    <w:r>
      <w:rPr>
        <w:noProof/>
        <w:sz w:val="16"/>
        <w:szCs w:val="16"/>
      </w:rPr>
      <w:drawing>
        <wp:inline distT="0" distB="0" distL="0" distR="0" wp14:anchorId="2F2C85D7" wp14:editId="5A17529C">
          <wp:extent cx="6784988" cy="7620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021" cy="76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6AC5" w:rsidRPr="003E52C4">
      <w:rPr>
        <w:sz w:val="16"/>
        <w:szCs w:val="16"/>
      </w:rPr>
      <w:t xml:space="preserve">Σελίδα </w:t>
    </w:r>
    <w:r w:rsidR="004B6AC5" w:rsidRPr="003E52C4">
      <w:rPr>
        <w:sz w:val="16"/>
        <w:szCs w:val="16"/>
      </w:rPr>
      <w:fldChar w:fldCharType="begin"/>
    </w:r>
    <w:r w:rsidR="004B6AC5" w:rsidRPr="003E52C4">
      <w:rPr>
        <w:sz w:val="16"/>
        <w:szCs w:val="16"/>
      </w:rPr>
      <w:instrText xml:space="preserve"> PAGE </w:instrText>
    </w:r>
    <w:r w:rsidR="004B6AC5" w:rsidRPr="003E52C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4B6AC5" w:rsidRPr="003E52C4">
      <w:rPr>
        <w:sz w:val="16"/>
        <w:szCs w:val="16"/>
      </w:rPr>
      <w:fldChar w:fldCharType="end"/>
    </w:r>
    <w:r w:rsidR="004B6AC5" w:rsidRPr="003E52C4">
      <w:rPr>
        <w:sz w:val="16"/>
        <w:szCs w:val="16"/>
      </w:rPr>
      <w:t xml:space="preserve"> από </w:t>
    </w:r>
    <w:r w:rsidR="004B6AC5" w:rsidRPr="003E52C4">
      <w:rPr>
        <w:sz w:val="16"/>
        <w:szCs w:val="16"/>
      </w:rPr>
      <w:fldChar w:fldCharType="begin"/>
    </w:r>
    <w:r w:rsidR="004B6AC5" w:rsidRPr="003E52C4">
      <w:rPr>
        <w:sz w:val="16"/>
        <w:szCs w:val="16"/>
      </w:rPr>
      <w:instrText xml:space="preserve"> NUMPAGES </w:instrText>
    </w:r>
    <w:r w:rsidR="004B6AC5" w:rsidRPr="003E52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4B6AC5" w:rsidRPr="003E52C4">
      <w:rPr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3" w:rsidRDefault="00F21E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D4" w:rsidRDefault="00C87AD4">
      <w:r>
        <w:separator/>
      </w:r>
    </w:p>
  </w:footnote>
  <w:footnote w:type="continuationSeparator" w:id="0">
    <w:p w:rsidR="00C87AD4" w:rsidRDefault="00C8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3" w:rsidRDefault="00F21E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3" w:rsidRDefault="00F21E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EF3" w:rsidRDefault="00F21E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20.%1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>
      <w:start w:val="1"/>
      <w:numFmt w:val="decimal"/>
      <w:pStyle w:val="2"/>
      <w:lvlText w:val="20.%1.%2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20.%1.%2.%3."/>
      <w:lvlJc w:val="left"/>
      <w:pPr>
        <w:tabs>
          <w:tab w:val="num" w:pos="1440"/>
        </w:tabs>
        <w:ind w:left="680" w:hanging="680"/>
      </w:pPr>
      <w:rPr>
        <w:rFonts w:hint="default"/>
      </w:rPr>
    </w:lvl>
    <w:lvl w:ilvl="3">
      <w:start w:val="1"/>
      <w:numFmt w:val="decimal"/>
      <w:pStyle w:val="4"/>
      <w:lvlText w:val="20.%1.%2.%3.%4.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20.%1.%2.%3.%4.%5.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pStyle w:val="Spec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"/>
      <w:numFmt w:val="bullet"/>
      <w:pStyle w:val="Bulletindent"/>
      <w:lvlText w:val=""/>
      <w:lvlJc w:val="left"/>
      <w:pPr>
        <w:tabs>
          <w:tab w:val="num" w:pos="1644"/>
        </w:tabs>
        <w:ind w:left="1644" w:hanging="380"/>
      </w:pPr>
      <w:rPr>
        <w:rFonts w:ascii="Wingdings 3" w:hAnsi="Wingdings 3" w:cs="Wingdings 3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pStyle w:val="Source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662B5BDC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F"/>
    <w:rsid w:val="00046E92"/>
    <w:rsid w:val="00047CC7"/>
    <w:rsid w:val="00054DE5"/>
    <w:rsid w:val="00055BFF"/>
    <w:rsid w:val="000B4240"/>
    <w:rsid w:val="000D00D7"/>
    <w:rsid w:val="000E0C2D"/>
    <w:rsid w:val="000E484E"/>
    <w:rsid w:val="000E54CC"/>
    <w:rsid w:val="000E64D8"/>
    <w:rsid w:val="000F1F5A"/>
    <w:rsid w:val="000F7BD2"/>
    <w:rsid w:val="0010419C"/>
    <w:rsid w:val="00125235"/>
    <w:rsid w:val="0014016C"/>
    <w:rsid w:val="00161CFA"/>
    <w:rsid w:val="00180BCB"/>
    <w:rsid w:val="001A1793"/>
    <w:rsid w:val="001C4A27"/>
    <w:rsid w:val="0020555F"/>
    <w:rsid w:val="002071B0"/>
    <w:rsid w:val="00207F57"/>
    <w:rsid w:val="0022656A"/>
    <w:rsid w:val="0022698D"/>
    <w:rsid w:val="00246B2B"/>
    <w:rsid w:val="00251DFB"/>
    <w:rsid w:val="00253555"/>
    <w:rsid w:val="00275AD7"/>
    <w:rsid w:val="002A600F"/>
    <w:rsid w:val="002D363F"/>
    <w:rsid w:val="002E2349"/>
    <w:rsid w:val="00301A46"/>
    <w:rsid w:val="00312D62"/>
    <w:rsid w:val="003503F2"/>
    <w:rsid w:val="00395C5A"/>
    <w:rsid w:val="003D23A0"/>
    <w:rsid w:val="003F03D2"/>
    <w:rsid w:val="0042203F"/>
    <w:rsid w:val="004719E3"/>
    <w:rsid w:val="0047390B"/>
    <w:rsid w:val="00480BF8"/>
    <w:rsid w:val="00484A64"/>
    <w:rsid w:val="00487932"/>
    <w:rsid w:val="004A3D94"/>
    <w:rsid w:val="004B6AC5"/>
    <w:rsid w:val="004C5746"/>
    <w:rsid w:val="00506353"/>
    <w:rsid w:val="00552E09"/>
    <w:rsid w:val="00556494"/>
    <w:rsid w:val="00567FC4"/>
    <w:rsid w:val="005C2137"/>
    <w:rsid w:val="006018DB"/>
    <w:rsid w:val="00602FE7"/>
    <w:rsid w:val="006257D1"/>
    <w:rsid w:val="00665BEF"/>
    <w:rsid w:val="00697A54"/>
    <w:rsid w:val="006A69A6"/>
    <w:rsid w:val="006B128D"/>
    <w:rsid w:val="006C78ED"/>
    <w:rsid w:val="006F7345"/>
    <w:rsid w:val="007050BE"/>
    <w:rsid w:val="00712347"/>
    <w:rsid w:val="0074268B"/>
    <w:rsid w:val="007523C4"/>
    <w:rsid w:val="00756017"/>
    <w:rsid w:val="00760AEA"/>
    <w:rsid w:val="00774BC9"/>
    <w:rsid w:val="007C6CE4"/>
    <w:rsid w:val="007E3D49"/>
    <w:rsid w:val="007F077B"/>
    <w:rsid w:val="007F110B"/>
    <w:rsid w:val="00813FF5"/>
    <w:rsid w:val="0082309E"/>
    <w:rsid w:val="00860E7F"/>
    <w:rsid w:val="008A5D11"/>
    <w:rsid w:val="008A7EDA"/>
    <w:rsid w:val="008B3F93"/>
    <w:rsid w:val="008D2F8B"/>
    <w:rsid w:val="0092771F"/>
    <w:rsid w:val="00953934"/>
    <w:rsid w:val="009622CA"/>
    <w:rsid w:val="009A6FA9"/>
    <w:rsid w:val="009F34C2"/>
    <w:rsid w:val="00A44553"/>
    <w:rsid w:val="00A67DE9"/>
    <w:rsid w:val="00A73BC2"/>
    <w:rsid w:val="00A82162"/>
    <w:rsid w:val="00AA6A72"/>
    <w:rsid w:val="00AC0381"/>
    <w:rsid w:val="00AD5FA2"/>
    <w:rsid w:val="00B06083"/>
    <w:rsid w:val="00B26EC5"/>
    <w:rsid w:val="00B402FB"/>
    <w:rsid w:val="00B63DC3"/>
    <w:rsid w:val="00B71583"/>
    <w:rsid w:val="00B80DAE"/>
    <w:rsid w:val="00BC06B4"/>
    <w:rsid w:val="00BC391A"/>
    <w:rsid w:val="00BC4CBD"/>
    <w:rsid w:val="00BD03C2"/>
    <w:rsid w:val="00BD11C2"/>
    <w:rsid w:val="00BD2E0B"/>
    <w:rsid w:val="00BE2222"/>
    <w:rsid w:val="00C208D8"/>
    <w:rsid w:val="00C24FC5"/>
    <w:rsid w:val="00C46395"/>
    <w:rsid w:val="00C53BCF"/>
    <w:rsid w:val="00C75CE8"/>
    <w:rsid w:val="00C776BF"/>
    <w:rsid w:val="00C87AD4"/>
    <w:rsid w:val="00CB4A4A"/>
    <w:rsid w:val="00CC593F"/>
    <w:rsid w:val="00CF6B21"/>
    <w:rsid w:val="00D04AD0"/>
    <w:rsid w:val="00D103C4"/>
    <w:rsid w:val="00D109E3"/>
    <w:rsid w:val="00D12E83"/>
    <w:rsid w:val="00D77B50"/>
    <w:rsid w:val="00D87277"/>
    <w:rsid w:val="00D97E1B"/>
    <w:rsid w:val="00DA0BF5"/>
    <w:rsid w:val="00DD7957"/>
    <w:rsid w:val="00DF107E"/>
    <w:rsid w:val="00E42F1D"/>
    <w:rsid w:val="00E51347"/>
    <w:rsid w:val="00E543B6"/>
    <w:rsid w:val="00E65E47"/>
    <w:rsid w:val="00E765E6"/>
    <w:rsid w:val="00E769F6"/>
    <w:rsid w:val="00EA5FF1"/>
    <w:rsid w:val="00EC79D8"/>
    <w:rsid w:val="00F065A1"/>
    <w:rsid w:val="00F21EF3"/>
    <w:rsid w:val="00F24B81"/>
    <w:rsid w:val="00F501B4"/>
    <w:rsid w:val="00F8530E"/>
    <w:rsid w:val="00F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5EAFB07-369C-4DED-BF3E-CDFF60D2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2"/>
    <w:qFormat/>
    <w:pPr>
      <w:keepNext/>
      <w:pageBreakBefore/>
      <w:numPr>
        <w:numId w:val="1"/>
      </w:numPr>
      <w:pBdr>
        <w:bottom w:val="single" w:sz="1" w:space="1" w:color="808080"/>
      </w:pBd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240"/>
      <w:ind w:left="567" w:firstLine="0"/>
      <w:jc w:val="both"/>
      <w:outlineLvl w:val="0"/>
    </w:pPr>
    <w:rPr>
      <w:rFonts w:ascii="Tahoma" w:hAnsi="Tahoma" w:cs="Tahoma"/>
      <w:b/>
      <w:smallCaps/>
      <w:color w:val="333399"/>
      <w:sz w:val="32"/>
      <w:szCs w:val="20"/>
    </w:rPr>
  </w:style>
  <w:style w:type="paragraph" w:styleId="2">
    <w:name w:val="heading 2"/>
    <w:basedOn w:val="a"/>
    <w:next w:val="3"/>
    <w:qFormat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Tahoma" w:hAnsi="Tahoma" w:cs="Tahoma"/>
      <w:b/>
      <w:sz w:val="28"/>
      <w:szCs w:val="2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2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 3" w:hAnsi="Wingdings 3" w:cs="Wingdings 3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CharChar">
    <w:name w:val="Char Char"/>
    <w:rPr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Bullets">
    <w:name w:val="Bullets"/>
    <w:basedOn w:val="a"/>
    <w:pPr>
      <w:numPr>
        <w:numId w:val="2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0"/>
      <w:szCs w:val="20"/>
    </w:rPr>
  </w:style>
  <w:style w:type="paragraph" w:customStyle="1" w:styleId="Bulletindent">
    <w:name w:val="Bullet indent"/>
    <w:basedOn w:val="Bullets"/>
    <w:pPr>
      <w:numPr>
        <w:numId w:val="4"/>
      </w:numPr>
      <w:tabs>
        <w:tab w:val="left" w:pos="1208"/>
      </w:tabs>
      <w:spacing w:before="120"/>
      <w:ind w:left="1231" w:firstLine="0"/>
    </w:pPr>
  </w:style>
  <w:style w:type="paragraph" w:customStyle="1" w:styleId="Specbullet">
    <w:name w:val="Spec_bullet"/>
    <w:basedOn w:val="a"/>
    <w:pPr>
      <w:numPr>
        <w:numId w:val="3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2"/>
      <w:szCs w:val="20"/>
    </w:rPr>
  </w:style>
  <w:style w:type="paragraph" w:customStyle="1" w:styleId="Sourcetextbullet">
    <w:name w:val="Sourcetext bullet"/>
    <w:basedOn w:val="a"/>
    <w:pPr>
      <w:numPr>
        <w:numId w:val="5"/>
      </w:numPr>
      <w:spacing w:after="120"/>
    </w:pPr>
    <w:rPr>
      <w:rFonts w:ascii="Century Schoolbook" w:hAnsi="Century Schoolbook" w:cs="Century Schoolbook"/>
      <w:sz w:val="20"/>
      <w:szCs w:val="20"/>
      <w:lang w:val="en-US"/>
    </w:rPr>
  </w:style>
  <w:style w:type="paragraph" w:customStyle="1" w:styleId="Speccentered">
    <w:name w:val="Spec_centered"/>
    <w:basedOn w:val="a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center"/>
    </w:pPr>
    <w:rPr>
      <w:rFonts w:ascii="Tahoma" w:eastAsia="Arial Unicode MS" w:hAnsi="Tahoma" w:cs="Tahoma"/>
      <w:sz w:val="22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6354-3FAA-40C7-90C6-325D6FA7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ΥΔΔΑΔ</dc:creator>
  <cp:lastModifiedBy>Mpousmpoura Kondylenia</cp:lastModifiedBy>
  <cp:revision>5</cp:revision>
  <cp:lastPrinted>2021-08-17T11:18:00Z</cp:lastPrinted>
  <dcterms:created xsi:type="dcterms:W3CDTF">2021-08-18T05:06:00Z</dcterms:created>
  <dcterms:modified xsi:type="dcterms:W3CDTF">2021-10-12T06:45:00Z</dcterms:modified>
</cp:coreProperties>
</file>